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Veřejnoprávní smlouva číslo ____/2021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trike w:val="1"/>
          <w:sz w:val="28"/>
          <w:szCs w:val="28"/>
        </w:rPr>
      </w:pPr>
      <w:r w:rsidDel="00000000" w:rsidR="00000000" w:rsidRPr="00000000">
        <w:rPr>
          <w:rFonts w:ascii="Times New Roman" w:cs="Times New Roman" w:eastAsia="Times New Roman" w:hAnsi="Times New Roman"/>
          <w:b w:val="1"/>
          <w:sz w:val="28"/>
          <w:szCs w:val="28"/>
          <w:rtl w:val="0"/>
        </w:rPr>
        <w:t xml:space="preserve">o poskytnutí neinvestiční dotace z rozpočtu města Libčice nad Vltavou</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Město Libčice nad Vltavou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sídlem: </w:t>
      </w:r>
      <w:r w:rsidDel="00000000" w:rsidR="00000000" w:rsidRPr="00000000">
        <w:rPr>
          <w:rFonts w:ascii="Times New Roman" w:cs="Times New Roman" w:eastAsia="Times New Roman" w:hAnsi="Times New Roman"/>
          <w:b w:val="1"/>
          <w:sz w:val="24"/>
          <w:szCs w:val="24"/>
          <w:rtl w:val="0"/>
        </w:rPr>
        <w:t xml:space="preserve">nám. Svobody 90, 252 66 Libčice nad Vltavou</w:t>
      </w: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zastoupené: </w:t>
      </w:r>
      <w:r w:rsidDel="00000000" w:rsidR="00000000" w:rsidRPr="00000000">
        <w:rPr>
          <w:rFonts w:ascii="Times New Roman" w:cs="Times New Roman" w:eastAsia="Times New Roman" w:hAnsi="Times New Roman"/>
          <w:b w:val="1"/>
          <w:sz w:val="24"/>
          <w:szCs w:val="24"/>
          <w:rtl w:val="0"/>
        </w:rPr>
        <w:t xml:space="preserve">Ing. Pavlem Bartošem,</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MBA - starosta</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IČ: </w:t>
      </w:r>
      <w:r w:rsidDel="00000000" w:rsidR="00000000" w:rsidRPr="00000000">
        <w:rPr>
          <w:rFonts w:ascii="Times New Roman" w:cs="Times New Roman" w:eastAsia="Times New Roman" w:hAnsi="Times New Roman"/>
          <w:b w:val="1"/>
          <w:sz w:val="24"/>
          <w:szCs w:val="24"/>
          <w:rtl w:val="0"/>
        </w:rPr>
        <w:t xml:space="preserve">00241407</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bankovní spojení: </w:t>
      </w:r>
      <w:r w:rsidDel="00000000" w:rsidR="00000000" w:rsidRPr="00000000">
        <w:rPr>
          <w:rFonts w:ascii="Times New Roman" w:cs="Times New Roman" w:eastAsia="Times New Roman" w:hAnsi="Times New Roman"/>
          <w:b w:val="1"/>
          <w:sz w:val="24"/>
          <w:szCs w:val="24"/>
          <w:rtl w:val="0"/>
        </w:rPr>
        <w:t xml:space="preserve">Česká spořitelna, a.s., pobočka Roztoky u Prahy</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číslo účtu: </w:t>
      </w:r>
      <w:r w:rsidDel="00000000" w:rsidR="00000000" w:rsidRPr="00000000">
        <w:rPr>
          <w:rFonts w:ascii="Times New Roman" w:cs="Times New Roman" w:eastAsia="Times New Roman" w:hAnsi="Times New Roman"/>
          <w:b w:val="1"/>
          <w:sz w:val="24"/>
          <w:szCs w:val="24"/>
          <w:rtl w:val="0"/>
        </w:rPr>
        <w:t xml:space="preserve">příjmový účet: 19-388178349/0800 </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výdajový účet:  27-388178349/0800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(dále jen „</w:t>
      </w:r>
      <w:r w:rsidDel="00000000" w:rsidR="00000000" w:rsidRPr="00000000">
        <w:rPr>
          <w:rFonts w:ascii="Times New Roman" w:cs="Times New Roman" w:eastAsia="Times New Roman" w:hAnsi="Times New Roman"/>
          <w:b w:val="1"/>
          <w:sz w:val="24"/>
          <w:szCs w:val="24"/>
          <w:rtl w:val="0"/>
        </w:rPr>
        <w:t xml:space="preserve">poskytovate</w:t>
      </w:r>
      <w:r w:rsidDel="00000000" w:rsidR="00000000" w:rsidRPr="00000000">
        <w:rPr>
          <w:rFonts w:ascii="Times New Roman" w:cs="Times New Roman" w:eastAsia="Times New Roman" w:hAnsi="Times New Roman"/>
          <w:sz w:val="24"/>
          <w:szCs w:val="24"/>
          <w:rtl w:val="0"/>
        </w:rPr>
        <w:t xml:space="preserve">l“) na straně jedné</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w:t>
        <w:br w:type="textWrapping"/>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(dále jen „</w:t>
      </w:r>
      <w:r w:rsidDel="00000000" w:rsidR="00000000" w:rsidRPr="00000000">
        <w:rPr>
          <w:rFonts w:ascii="Times New Roman" w:cs="Times New Roman" w:eastAsia="Times New Roman" w:hAnsi="Times New Roman"/>
          <w:b w:val="1"/>
          <w:sz w:val="24"/>
          <w:szCs w:val="24"/>
          <w:rtl w:val="0"/>
        </w:rPr>
        <w:t xml:space="preserve">příjemce“</w:t>
      </w:r>
      <w:r w:rsidDel="00000000" w:rsidR="00000000" w:rsidRPr="00000000">
        <w:rPr>
          <w:rFonts w:ascii="Times New Roman" w:cs="Times New Roman" w:eastAsia="Times New Roman" w:hAnsi="Times New Roman"/>
          <w:sz w:val="24"/>
          <w:szCs w:val="24"/>
          <w:rtl w:val="0"/>
        </w:rPr>
        <w:t xml:space="preserve">) na straně druhé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společně také jako „</w:t>
      </w:r>
      <w:r w:rsidDel="00000000" w:rsidR="00000000" w:rsidRPr="00000000">
        <w:rPr>
          <w:rFonts w:ascii="Times New Roman" w:cs="Times New Roman" w:eastAsia="Times New Roman" w:hAnsi="Times New Roman"/>
          <w:b w:val="1"/>
          <w:sz w:val="24"/>
          <w:szCs w:val="24"/>
          <w:rtl w:val="0"/>
        </w:rPr>
        <w:t xml:space="preserve">smluvní strany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uzavřeli níže uvedeného dne, měsíce a roku v souladu s §159 a násl. zákona č. 500/2004 Sb., správní řád, ve znění pozdějších předpisů, tuto veřejnoprávní smlouvu o poskytnutí neinvestiční dotace (dále jen „</w:t>
      </w:r>
      <w:r w:rsidDel="00000000" w:rsidR="00000000" w:rsidRPr="00000000">
        <w:rPr>
          <w:rFonts w:ascii="Times New Roman" w:cs="Times New Roman" w:eastAsia="Times New Roman" w:hAnsi="Times New Roman"/>
          <w:b w:val="1"/>
          <w:sz w:val="24"/>
          <w:szCs w:val="24"/>
          <w:rtl w:val="0"/>
        </w:rPr>
        <w:t xml:space="preserve">smlouva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Předmět smlouvy</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0"/>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Poskytovatel poskytne příjemci na níže uvedený účel za podmínek uvedených v této smlouvě, zejména pak v čl. II. až III. smlouvy, účelovou neinvestiční dotaci z rozpočtu města Libčice nad Vltavou </w:t>
      </w:r>
      <w:r w:rsidDel="00000000" w:rsidR="00000000" w:rsidRPr="00000000">
        <w:rPr>
          <w:rFonts w:ascii="Times New Roman" w:cs="Times New Roman" w:eastAsia="Times New Roman" w:hAnsi="Times New Roman"/>
          <w:b w:val="1"/>
          <w:sz w:val="24"/>
          <w:szCs w:val="24"/>
          <w:rtl w:val="0"/>
        </w:rPr>
        <w:t xml:space="preserve">ve výši: </w:t>
      </w:r>
    </w:p>
    <w:p w:rsidR="00000000" w:rsidDel="00000000" w:rsidP="00000000" w:rsidRDefault="00000000" w:rsidRPr="00000000" w14:paraId="00000019">
      <w:pPr>
        <w:numPr>
          <w:ilvl w:val="0"/>
          <w:numId w:val="10"/>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Dotace může být čerpána na – </w:t>
      </w:r>
      <w:r w:rsidDel="00000000" w:rsidR="00000000" w:rsidRPr="00000000">
        <w:rPr>
          <w:rFonts w:ascii="Times New Roman" w:cs="Times New Roman" w:eastAsia="Times New Roman" w:hAnsi="Times New Roman"/>
          <w:sz w:val="24"/>
          <w:szCs w:val="24"/>
          <w:highlight w:val="yellow"/>
          <w:rtl w:val="0"/>
        </w:rPr>
        <w:t xml:space="preserve">dle žádosti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numPr>
          <w:ilvl w:val="0"/>
          <w:numId w:val="10"/>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Poskytnutí dotace rozhodla Rada města Libčice nad Vltavou na svém zasedání konaném dne</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Splatnost peněžních prostředků</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Poskytovatel se zavazuje poskytnout příjemci dotaci za účelem uvedeným v článku I. této smlouvy formou bezhotovostního převodu na účet příjemce uvedený v záhlaví této smlouvy nebo vyplatit v hotovosti z pokladny městského úřadu do 30 dnů po nabytí účinnosti této smlouvy. </w:t>
      </w:r>
    </w:p>
    <w:p w:rsidR="00000000" w:rsidDel="00000000" w:rsidP="00000000" w:rsidRDefault="00000000" w:rsidRPr="00000000" w14:paraId="0000002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termínu pro předložení vyúčtování dle čl. V. odst. 5.1 vrátí příjemce nevyčerpané finanční prostředky z dotace formou bezhotovostního převodu na účet poskytovatele uvedený v záhlaví této smlouvy nebo složí v hotovosti do pokladny městského úřadu. Neučiní-li tak, jedná se o porušení rozpočtové kázně dle § 22 zákona č. 250/2000 Sb., o rozpočtových pravidlech územních rozpočtů, ve znění pozdějších předpisů.</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Využití dotace</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numPr>
          <w:ilvl w:val="1"/>
          <w:numId w:val="12"/>
        </w:numPr>
        <w:spacing w:after="0"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oprávněn využít dotaci pouze k účelu uvedenému v čl. I. této smlouvy.</w:t>
      </w:r>
    </w:p>
    <w:p w:rsidR="00000000" w:rsidDel="00000000" w:rsidP="00000000" w:rsidRDefault="00000000" w:rsidRPr="00000000" w14:paraId="0000002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1"/>
          <w:numId w:val="12"/>
        </w:numPr>
        <w:spacing w:after="0"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Finanční prostředky z dotace lze použít výhradně na úhradu nákladů vzniklých v období od 1.1.2021 do 31.12.2021, vztahujících se ke stanovenému účelu poskytnutí dotace. </w:t>
      </w:r>
      <w:r w:rsidDel="00000000" w:rsidR="00000000" w:rsidRPr="00000000">
        <w:rPr>
          <w:rFonts w:ascii="Times New Roman" w:cs="Times New Roman" w:eastAsia="Times New Roman" w:hAnsi="Times New Roman"/>
          <w:color w:val="000000"/>
          <w:sz w:val="24"/>
          <w:szCs w:val="24"/>
          <w:rtl w:val="0"/>
        </w:rPr>
        <w:t xml:space="preserve">Finanční prostředky nelze převádět do následujícího kalendářního roku. </w:t>
      </w: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Způsobilé výdaje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Způsobilými výdaji se rozumí výdaje, spojené s aktivitami uvedenými v čl. III. této smlouvy, tj. zejména proplacené náklady, jež mohou být hrazeny z dotace a vyhovují zásadám účelnosti, efektivnosti a hospodárnosti podle zákona č. 320/2001 Sb., o finanční kontrole, ve znění pozdějších předpisů.</w:t>
      </w:r>
    </w:p>
    <w:p w:rsidR="00000000" w:rsidDel="00000000" w:rsidP="00000000" w:rsidRDefault="00000000" w:rsidRPr="00000000" w14:paraId="0000002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Vyúčtování</w:t>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Závěrečné vyúčtování skutečných výdajů uvedených v čl. III. této smlouvy bude provedeno a předloženo poskytovateli nejpozději do 31.12.2021.              </w:t>
      </w:r>
    </w:p>
    <w:p w:rsidR="00000000" w:rsidDel="00000000" w:rsidP="00000000" w:rsidRDefault="00000000" w:rsidRPr="00000000" w14:paraId="00000033">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3"/>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závěrečnému vyúčtování předloží příjemce zejména</w:t>
      </w:r>
    </w:p>
    <w:p w:rsidR="00000000" w:rsidDel="00000000" w:rsidP="00000000" w:rsidRDefault="00000000" w:rsidRPr="00000000" w14:paraId="00000035">
      <w:pPr>
        <w:numPr>
          <w:ilvl w:val="2"/>
          <w:numId w:val="4"/>
        </w:numPr>
        <w:spacing w:after="0" w:line="240" w:lineRule="auto"/>
        <w:ind w:left="1191"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kopie prvotních daňových dokladů týkajících se výdajů uvedených v čl. III. této smlouvy a prokazujících uhrazení nákladů na projekt uvedený v čl. I. této smlouvy.</w:t>
        <w:br w:type="textWrapping"/>
      </w:r>
    </w:p>
    <w:p w:rsidR="00000000" w:rsidDel="00000000" w:rsidP="00000000" w:rsidRDefault="00000000" w:rsidRPr="00000000" w14:paraId="00000036">
      <w:pPr>
        <w:numPr>
          <w:ilvl w:val="0"/>
          <w:numId w:val="3"/>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Nedílnou součástí vyúčtování bude stručná závěrečná hodnotící zpráva doplněná o doklady veřejné publicity, pokud takové existují.</w:t>
      </w:r>
    </w:p>
    <w:p w:rsidR="00000000" w:rsidDel="00000000" w:rsidP="00000000" w:rsidRDefault="00000000" w:rsidRPr="00000000" w14:paraId="00000037">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3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tl w:val="0"/>
        </w:rPr>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Plnění a povinnosti příjemce</w:t>
      </w:r>
    </w:p>
    <w:p w:rsidR="00000000" w:rsidDel="00000000" w:rsidP="00000000" w:rsidRDefault="00000000" w:rsidRPr="00000000" w14:paraId="0000003B">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akcích nebo v souvislosti s akcemi, na které je dotace dle čl. I. této smlouvy poskytnuta, nebude propagována účelová politická činnost (vedení politické kampaně a jiné). Porušením tohoto ustanovení je založen výpovědní důvod dle čl. VIII. odst. 8.3.3 smlouvy a příjemce zároveň ztrácí možnost v následujícím kalendářním roce získat od poskytovatele podporu v podobě dotace. </w:t>
      </w:r>
    </w:p>
    <w:p w:rsidR="00000000" w:rsidDel="00000000" w:rsidP="00000000" w:rsidRDefault="00000000" w:rsidRPr="00000000" w14:paraId="0000003D">
      <w:pPr>
        <w:spacing w:after="0" w:line="240" w:lineRule="auto"/>
        <w:ind w:left="340" w:firstLine="0"/>
        <w:jc w:val="both"/>
        <w:rPr>
          <w:rFonts w:ascii="Times New Roman" w:cs="Times New Roman" w:eastAsia="Times New Roman" w:hAnsi="Times New Roman"/>
          <w:color w:val="4472c4"/>
          <w:sz w:val="24"/>
          <w:szCs w:val="24"/>
        </w:rPr>
      </w:pP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musí dodržet publicitu města Libčice nad Vltavou. To znamená, že na všech tištěných i elektronických propagačních materiálech (letácích, plakátech, sděleních na sociálních sítích) a jiných médiích bude vždy uvedeno: „Akce se koná za podpory města Libčice nad Vltavou“ spolu s logem města. V místě konání akce bude na viditelném místě umístěn banner/roll-up/A-stojan s logem města, který bezplatně město zapůjčí. Vyzvednutí a odevzdání banneru si zajistí pořadatel na MěÚ.</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poskytne z akce fotodokumentaci (min. 10 fotografií) pro zveřejnění na webu města </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2">
      <w:pPr>
        <w:numPr>
          <w:ilvl w:val="0"/>
          <w:numId w:val="6"/>
        </w:numPr>
        <w:ind w:left="340" w:hanging="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povinen město co nejdříve  informovat o předpokládaném termínu konání nebo změně termínu akce/aktivity. </w:t>
      </w:r>
    </w:p>
    <w:p w:rsidR="00000000" w:rsidDel="00000000" w:rsidP="00000000" w:rsidRDefault="00000000" w:rsidRPr="00000000" w14:paraId="00000043">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se zavazuje použít finanční prostředky poskytnuté na základě této smlouvy hospodárným a efektivním způsobem pouze v souvislosti se stanoveným účelem a v souladu s legislativou České republiky a podmínkami v této smlouvě uvedenými.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Nevyčerpané finanční prostředky poskytnuté dle této smlouvy je příjemce povinen nejpozději do 31.12.2021 vrátit formou bezhotovostního převodu na účet poskytovatele uvedený v záhlaví této smlouvy nebo v hotovosti do pokladny městského úřadu.</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6"/>
        </w:numPr>
        <w:spacing w:after="0" w:line="240" w:lineRule="auto"/>
        <w:ind w:left="340" w:hanging="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povinen vrátit poskytnuté finanční prostředky nebo jejich část, pokud je užil v rozporu s touto smlouvou, a to nejpozději do 15 dnů od doručení písemného zjištění poskytovatele o porušení některého ustanovení této smlouvy.</w:t>
      </w:r>
    </w:p>
    <w:p w:rsidR="00000000" w:rsidDel="00000000" w:rsidP="00000000" w:rsidRDefault="00000000" w:rsidRPr="00000000" w14:paraId="0000004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povinen bez zbytečného prodlení písemně informovat poskytovatele o jakékoliv změně v údajích uvedených v této smlouvě ohledně jeho osoby, účelu a výše dotace, vlastního podílu na výdajích a o všech dalších okolnostech, které mají nebo by mohly mít vliv na plnění jeho povinností podle této smlouvy. </w:t>
      </w:r>
    </w:p>
    <w:p w:rsidR="00000000" w:rsidDel="00000000" w:rsidP="00000000" w:rsidRDefault="00000000" w:rsidRPr="00000000" w14:paraId="0000004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veřejné správě, ve znění pozdějších předpisů. </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7"/>
        </w:numPr>
        <w:spacing w:after="0" w:line="240" w:lineRule="auto"/>
        <w:ind w:left="39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Vrácení prostředků podle čl. II. odst. 2.2 této smlouvy nezakládá právo příjemce na dočerpání finančních prostředků v následujícím roce.</w:t>
      </w:r>
    </w:p>
    <w:p w:rsidR="00000000" w:rsidDel="00000000" w:rsidP="00000000" w:rsidRDefault="00000000" w:rsidRPr="00000000" w14:paraId="0000004E">
      <w:pPr>
        <w:spacing w:after="0" w:line="240" w:lineRule="auto"/>
        <w:ind w:left="39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w:t>
      </w:r>
    </w:p>
    <w:p w:rsidR="00000000" w:rsidDel="00000000" w:rsidP="00000000" w:rsidRDefault="00000000" w:rsidRPr="00000000" w14:paraId="00000051">
      <w:pPr>
        <w:numPr>
          <w:ilvl w:val="0"/>
          <w:numId w:val="13"/>
        </w:numPr>
        <w:spacing w:after="120" w:line="240" w:lineRule="auto"/>
        <w:ind w:left="340" w:firstLine="22.999999999999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případě, že příjemce řádně neodprezentuje partnerství s městem, bude automaticky        v následujícím roce vyřazen z žádostí o dotaci. Toto rozhodnutí patří do kompetencí rady.</w:t>
      </w:r>
    </w:p>
    <w:p w:rsidR="00000000" w:rsidDel="00000000" w:rsidP="00000000" w:rsidRDefault="00000000" w:rsidRPr="00000000" w14:paraId="00000052">
      <w:pPr>
        <w:numPr>
          <w:ilvl w:val="0"/>
          <w:numId w:val="13"/>
        </w:numPr>
        <w:spacing w:after="0" w:line="240" w:lineRule="auto"/>
        <w:ind w:left="340"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Tento bod se netýká spolků a organizací, kdy je dotace poskytnuta na jejich provoz.</w:t>
      </w:r>
    </w:p>
    <w:p w:rsidR="00000000" w:rsidDel="00000000" w:rsidP="00000000" w:rsidRDefault="00000000" w:rsidRPr="00000000" w14:paraId="0000005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424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Kontrola hospodaření a sankce</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Příslušné orgány poskytovatele jsou oprávněny zejména v souladu s § 9 odst. 2 zákona č. 320/2001 Sb., o finanční kontrole, ve znění pozdějších předpisů, provádět kontroly dodržování účelu a podmínek čerpání dotace dle této smlouvy a příjemce je povinen tuto kontrolu poskytovateli umožnit. </w:t>
      </w:r>
    </w:p>
    <w:p w:rsidR="00000000" w:rsidDel="00000000" w:rsidP="00000000" w:rsidRDefault="00000000" w:rsidRPr="00000000" w14:paraId="00000059">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bere na vědomí, že porušení povinností stanovených touto smlouvou bude řešeno jako porušení rozpočtové kázně ve smyslu ustanovení § 22 zákona č. 250/2000 Sb., o rozpočtových pravidlech územních rozpočtů, ve znění pozdějších předpisů. </w:t>
      </w:r>
    </w:p>
    <w:p w:rsidR="00000000" w:rsidDel="00000000" w:rsidP="00000000" w:rsidRDefault="00000000" w:rsidRPr="00000000" w14:paraId="0000005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méně závažné porušení rozpočtové kázně ve smyslu § 10 a odst. 6 zákona č. 250/2000 Sb. o rozpočtových pravidlech územních rozpočtů, ve znění pozdějších předpisů, za které se uloží nižší odvod, se považuje následující porušení povinností stanovených touto smlouvou:</w:t>
      </w:r>
    </w:p>
    <w:p w:rsidR="00000000" w:rsidDel="00000000" w:rsidP="00000000" w:rsidRDefault="00000000" w:rsidRPr="00000000" w14:paraId="0000005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2"/>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opožděné dodání vyúčtování dle čl. V. odst. 5.1 smlouvy, za které se uloží odvod ve výši 3 % z poskytnuté dotace;</w:t>
      </w:r>
    </w:p>
    <w:p w:rsidR="00000000" w:rsidDel="00000000" w:rsidP="00000000" w:rsidRDefault="00000000" w:rsidRPr="00000000" w14:paraId="0000005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2"/>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vrácení nevyčerpaných, resp. neprofinancovaných poskytnutých finančních prostředků dle čl. VI. odst. 6.5 smlouvy po stanoveném termínu, nejpozději však do 30 dnů po tomto termínu, za které se uloží odvod ve výši 3 % z poskytnuté dotace;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2"/>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předložení neúplného vyúčtování poskytnutých finančních prostředků v termínu vyúčtování, kdy chybějící doklady příjemce předloží nejpozději do 14 dnů po tomto termínu vyúčtování, za které se uloží odvod ve výši 3 % z poskytnuté dotace.</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Výše odvodu a penále za porušení rozpočtové kázně a pravidla pro ukládání a promíjení odvodu a penále za porušení rozpočtové kázně jsou stanovena v ustanovení § 22 zákona č. 250/2000 Sb., o rozpočtových pravidlech územních rozpočtů, ve znění pozdějších předpisů. </w:t>
      </w:r>
    </w:p>
    <w:p w:rsidR="00000000" w:rsidDel="00000000" w:rsidP="00000000" w:rsidRDefault="00000000" w:rsidRPr="00000000" w14:paraId="00000068">
      <w:pPr>
        <w:spacing w:after="0" w:line="240" w:lineRule="auto"/>
        <w:ind w:left="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Veškeré platby jako důsledky porušení povinností příjemcem dle této smlouvy provede příjemce formou bezhotovostního převodu na účet poskytovatele, uvedený v záhlaví této smlouvy. </w:t>
      </w:r>
    </w:p>
    <w:p w:rsidR="00000000" w:rsidDel="00000000" w:rsidP="00000000" w:rsidRDefault="00000000" w:rsidRPr="00000000" w14:paraId="0000006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B">
      <w:pPr>
        <w:numPr>
          <w:ilvl w:val="1"/>
          <w:numId w:val="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Poskytnutá dotace je veřejnou finanční podporou ve smyslu zákona č. 320/2001 Sb., o finanční kontrole, ve znění pozdějších předpisů, a dotací ve smyslu zákona č. 250/2000 Sb., o rozpočtových pravidlech územních rozpočtů, ve znění pozdějších předpisů.</w:t>
      </w:r>
    </w:p>
    <w:p w:rsidR="00000000" w:rsidDel="00000000" w:rsidP="00000000" w:rsidRDefault="00000000" w:rsidRPr="00000000" w14:paraId="0000006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IX.</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Ukončení smlouvy</w:t>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numPr>
          <w:ilvl w:val="1"/>
          <w:numId w:val="5"/>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Smlouvu lze ukončit na základě písemné dohody obou smluvních stran nebo písemnou výpovědí smlouvy, a to za podmínek dále stanovených.</w:t>
      </w:r>
      <w:r w:rsidDel="00000000" w:rsidR="00000000" w:rsidRPr="00000000">
        <w:rPr>
          <w:rtl w:val="0"/>
        </w:rPr>
      </w:r>
    </w:p>
    <w:p w:rsidR="00000000" w:rsidDel="00000000" w:rsidP="00000000" w:rsidRDefault="00000000" w:rsidRPr="00000000" w14:paraId="00000072">
      <w:pPr>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numPr>
          <w:ilvl w:val="1"/>
          <w:numId w:val="5"/>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Poskytovatel může tuto smlouvu vypovědět jak před proplacením, tak i po proplacení dotace. </w:t>
      </w: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numPr>
          <w:ilvl w:val="1"/>
          <w:numId w:val="5"/>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Výpovědním důvodem ze strany poskytovatele je porušení povinností příjemcem, stanovených touto smlouvou nebo obecně závaznými právními předpisy, kterého se příjemce dopustí zejména pokud:</w:t>
      </w:r>
      <w:r w:rsidDel="00000000" w:rsidR="00000000" w:rsidRPr="00000000">
        <w:rPr>
          <w:rtl w:val="0"/>
        </w:rPr>
      </w:r>
    </w:p>
    <w:p w:rsidR="00000000" w:rsidDel="00000000" w:rsidP="00000000" w:rsidRDefault="00000000" w:rsidRPr="00000000" w14:paraId="0000007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2"/>
          <w:numId w:val="5"/>
        </w:numPr>
        <w:spacing w:after="0" w:before="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svým jednáním poruší rozpočtovou kázeň dle zákona č. 250/2000 Sb., o rozpočtových pravidlech územních rozpočtů, ve znění pozdějších předpisů; </w:t>
      </w:r>
    </w:p>
    <w:p w:rsidR="00000000" w:rsidDel="00000000" w:rsidP="00000000" w:rsidRDefault="00000000" w:rsidRPr="00000000" w14:paraId="00000078">
      <w:pPr>
        <w:numPr>
          <w:ilvl w:val="2"/>
          <w:numId w:val="5"/>
        </w:numPr>
        <w:spacing w:after="0" w:before="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poruší pravidla veřejné podpory; </w:t>
      </w:r>
    </w:p>
    <w:p w:rsidR="00000000" w:rsidDel="00000000" w:rsidP="00000000" w:rsidRDefault="00000000" w:rsidRPr="00000000" w14:paraId="00000079">
      <w:pPr>
        <w:numPr>
          <w:ilvl w:val="2"/>
          <w:numId w:val="5"/>
        </w:numPr>
        <w:spacing w:after="0" w:before="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poruší povinnost dle čl. VI. odst. 6.1 této smlouvy;</w:t>
      </w:r>
    </w:p>
    <w:p w:rsidR="00000000" w:rsidDel="00000000" w:rsidP="00000000" w:rsidRDefault="00000000" w:rsidRPr="00000000" w14:paraId="0000007A">
      <w:pPr>
        <w:numPr>
          <w:ilvl w:val="2"/>
          <w:numId w:val="5"/>
        </w:numPr>
        <w:spacing w:after="0" w:before="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uvedl nepravdivé, neúplné nebo zkreslené údaje, na které se váže uzavření této smlouvy;</w:t>
      </w:r>
    </w:p>
    <w:p w:rsidR="00000000" w:rsidDel="00000000" w:rsidP="00000000" w:rsidRDefault="00000000" w:rsidRPr="00000000" w14:paraId="0000007B">
      <w:pPr>
        <w:numPr>
          <w:ilvl w:val="2"/>
          <w:numId w:val="5"/>
        </w:numPr>
        <w:spacing w:after="0" w:before="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opakovaně neplní povinnosti stanovené touto smlouvou, i když byl k jejich nápravě vyzván poskytovatelem. </w:t>
      </w:r>
    </w:p>
    <w:p w:rsidR="00000000" w:rsidDel="00000000" w:rsidP="00000000" w:rsidRDefault="00000000" w:rsidRPr="00000000" w14:paraId="0000007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7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1"/>
          <w:numId w:val="5"/>
        </w:numPr>
        <w:spacing w:after="0" w:before="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Výpověď této smlouvy musí být učiněna písemně a musí v ní být uvedeny důvody jejího udělení.</w:t>
      </w:r>
    </w:p>
    <w:p w:rsidR="00000000" w:rsidDel="00000000" w:rsidP="00000000" w:rsidRDefault="00000000" w:rsidRPr="00000000" w14:paraId="0000008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Účinky výpovědi nastávají dnem uplynutí výpovědní lhůty za podmínky, že příjemce vrátí poskytnuté peněžní prostředky před jejím uplynutím. Jinak k ukončení této smlouvy dojde až vypořádáním všech práv a povinností smluvních stran. </w:t>
      </w:r>
    </w:p>
    <w:p w:rsidR="00000000" w:rsidDel="00000000" w:rsidP="00000000" w:rsidRDefault="00000000" w:rsidRPr="00000000" w14:paraId="00000082">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000000" w:rsidDel="00000000" w:rsidP="00000000" w:rsidRDefault="00000000" w:rsidRPr="00000000" w14:paraId="0000008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 ukončení této smlouvy dohodou je příjemce povinen vrátit bezhotovostním převodem na účet poskytovatele poskytnutou částku dotace, která mu již byla vyplacena, a to bez zbytečného odkladu, nejpozději do 30 dnů ode dne doručení dohody, podepsané oběma smluvními stranami, poskytovateli, nedohodnou-li se smluvní strany jinak. </w:t>
      </w:r>
    </w:p>
    <w:p w:rsidR="00000000" w:rsidDel="00000000" w:rsidP="00000000" w:rsidRDefault="00000000" w:rsidRPr="00000000" w14:paraId="0000008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Dohoda o ukončení této smlouvy musí být písemná a musí v ní být uvedeny důvody vedoucí k ukončení této smlouvy včetně vzájemného vypořádání práv a povinností smluvních stran. Tato dohoda nabývá účinnosti dnem připsání vrácených peněžních prostředků na účet poskytovatele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nedohodnou-li se smluvní strany jinak.</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88">
      <w:pPr>
        <w:numPr>
          <w:ilvl w:val="1"/>
          <w:numId w:val="5"/>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příjemce ve stanovené lhůtě poskytnuté prostředky nevrátí v souladu s touto smlouvou poskytovateli, považují se tyto prostředky za zadržené ve smyslu zákona č. 250/2000 Sb., o rozpočtových pravidlech územních rozpočtů, ve znění pozdějších předpisů. </w:t>
      </w:r>
    </w:p>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Závěrečná ustanovení</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1"/>
          <w:numId w:val="8"/>
        </w:numPr>
        <w:spacing w:after="0" w:before="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Jako kontaktní místo poskytovatele se pro účely této smlouvy stanovuje Městský úřad Libčice nad Vltavou.</w:t>
      </w:r>
      <w:r w:rsidDel="00000000" w:rsidR="00000000" w:rsidRPr="00000000">
        <w:rPr>
          <w:rtl w:val="0"/>
        </w:rPr>
      </w:r>
    </w:p>
    <w:p w:rsidR="00000000" w:rsidDel="00000000" w:rsidP="00000000" w:rsidRDefault="00000000" w:rsidRPr="00000000" w14:paraId="0000008E">
      <w:pPr>
        <w:spacing w:after="0" w:before="0" w:line="240" w:lineRule="auto"/>
        <w:ind w:left="420" w:firstLine="0"/>
        <w:jc w:val="both"/>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8F">
      <w:pPr>
        <w:numPr>
          <w:ilvl w:val="1"/>
          <w:numId w:val="8"/>
        </w:numPr>
        <w:spacing w:after="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Tato smlouva nabývá účinnosti dnem jejího podpisu oběma smluvními stranami</w:t>
      </w: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91">
      <w:pPr>
        <w:numPr>
          <w:ilvl w:val="1"/>
          <w:numId w:val="8"/>
        </w:numPr>
        <w:spacing w:after="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Tato 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93">
      <w:pPr>
        <w:numPr>
          <w:ilvl w:val="1"/>
          <w:numId w:val="8"/>
        </w:numPr>
        <w:spacing w:after="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Smluvní strany bezvýhradně souhlasí se zveřejněním všech údajů obsažených v této smlouvě, zejména s vedením této smlouvy v evidenci smluv, která je veřejně přístupná a která obsahuje údaje o smluvních stranách, předmětu smlouvy, výši finančního plnění a datu jejího podpisu. Příjemce dále výslovně souhlasí s tím, aby tato smlouva byla v plném rozsahu zveřejněna na webových stránkách, určených poskytovatelem.</w:t>
      </w: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95">
      <w:pPr>
        <w:numPr>
          <w:ilvl w:val="1"/>
          <w:numId w:val="8"/>
        </w:numPr>
        <w:spacing w:after="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Tato smlouva je vyhotovena ve dvou stejnopisech, přičemž každá ze smluvních stran obdrží po jednom z nich.</w:t>
      </w: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97">
      <w:pPr>
        <w:numPr>
          <w:ilvl w:val="1"/>
          <w:numId w:val="8"/>
        </w:numPr>
        <w:spacing w:after="0" w:line="240" w:lineRule="auto"/>
        <w:ind w:left="420" w:hanging="420"/>
        <w:jc w:val="both"/>
        <w:rPr>
          <w:rFonts w:ascii="Times New Roman" w:cs="Times New Roman" w:eastAsia="Times New Roman" w:hAnsi="Times New Roman"/>
          <w:i w:val="1"/>
          <w:color w:val="00b050"/>
          <w:sz w:val="24"/>
          <w:szCs w:val="24"/>
        </w:rPr>
      </w:pPr>
      <w:r w:rsidDel="00000000" w:rsidR="00000000" w:rsidRPr="00000000">
        <w:rPr>
          <w:rFonts w:ascii="Times New Roman" w:cs="Times New Roman" w:eastAsia="Times New Roman" w:hAnsi="Times New Roman"/>
          <w:sz w:val="24"/>
          <w:szCs w:val="24"/>
          <w:rtl w:val="0"/>
        </w:rPr>
        <w:t xml:space="preserve">Smluvní strany prohlašují, že se s obsahem smlouvy seznámily, jejímu obsahu rozumí a svými podpisy stvrzují, že smlouva byla sjednána na základě jejich pravé a svobodné vůle, nikoli v tísni za nápadně nevýhodných podmínek.</w:t>
      </w:r>
      <w:r w:rsidDel="00000000" w:rsidR="00000000" w:rsidRPr="00000000">
        <w:rPr>
          <w:rtl w:val="0"/>
        </w:rPr>
      </w:r>
    </w:p>
    <w:p w:rsidR="00000000" w:rsidDel="00000000" w:rsidP="00000000" w:rsidRDefault="00000000" w:rsidRPr="00000000" w14:paraId="00000098">
      <w:pPr>
        <w:spacing w:after="0" w:line="240" w:lineRule="auto"/>
        <w:ind w:left="720" w:firstLine="0"/>
        <w:rPr>
          <w:rFonts w:ascii="Times New Roman" w:cs="Times New Roman" w:eastAsia="Times New Roman" w:hAnsi="Times New Roman"/>
          <w:i w:val="1"/>
          <w:color w:val="00b050"/>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Libčicích nad Vltavou dne…………....</w:t>
        <w:tab/>
        <w:t xml:space="preserve">V Libčicích nad Vltavou dne………………</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 poskytovatele:</w:t>
        <w:tab/>
        <w:tab/>
        <w:tab/>
        <w:tab/>
        <w:tab/>
        <w:t xml:space="preserve">za příjemce:</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w:t>
      </w:r>
    </w:p>
    <w:p w:rsidR="00000000" w:rsidDel="00000000" w:rsidP="00000000" w:rsidRDefault="00000000" w:rsidRPr="00000000" w14:paraId="000000A5">
      <w:pPr>
        <w:widowControl w:val="0"/>
        <w:tabs>
          <w:tab w:val="left" w:pos="2016"/>
          <w:tab w:val="left" w:pos="3168"/>
          <w:tab w:val="left" w:pos="4320"/>
          <w:tab w:val="left" w:pos="5220"/>
          <w:tab w:val="left" w:pos="5472"/>
          <w:tab w:val="left" w:pos="6624"/>
          <w:tab w:val="left" w:pos="7776"/>
          <w:tab w:val="left" w:pos="8928"/>
        </w:tabs>
        <w:spacing w:after="0" w:line="240" w:lineRule="auto"/>
        <w:ind w:left="426" w:right="144"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starosta                                                            </w:t>
      </w:r>
    </w:p>
    <w:p w:rsidR="00000000" w:rsidDel="00000000" w:rsidP="00000000" w:rsidRDefault="00000000" w:rsidRPr="00000000" w14:paraId="000000A6">
      <w:pPr>
        <w:widowControl w:val="0"/>
        <w:tabs>
          <w:tab w:val="left" w:pos="2016"/>
          <w:tab w:val="left" w:pos="3168"/>
          <w:tab w:val="left" w:pos="4320"/>
          <w:tab w:val="left" w:pos="5220"/>
          <w:tab w:val="left" w:pos="5472"/>
          <w:tab w:val="left" w:pos="6624"/>
          <w:tab w:val="left" w:pos="7776"/>
          <w:tab w:val="left" w:pos="8928"/>
        </w:tabs>
        <w:spacing w:after="0" w:line="240" w:lineRule="auto"/>
        <w:ind w:left="426" w:right="144"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Doložka</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Potvrzuji, ve smyslu § 41 zákona č.</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128/2000 Sb., o obcích, že byly</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splněny podmínky pro platnost </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tohoto právního úkonu.</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Libčicích nad Vltavou dne :                                   ………………………………..</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Ing. Pavel Bartoš, MBA starosta</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sectPr>
      <w:footerReference r:id="rId7" w:type="default"/>
      <w:pgSz w:h="16838" w:w="11906" w:orient="portrait"/>
      <w:pgMar w:bottom="340" w:top="794" w:left="1418" w:right="1418"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4.%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5.%1"/>
      <w:lvlJc w:val="left"/>
      <w:pPr>
        <w:ind w:left="340" w:hanging="340"/>
      </w:pPr>
      <w:rPr/>
    </w:lvl>
    <w:lvl w:ilvl="1">
      <w:start w:val="2"/>
      <w:numFmt w:val="decimal"/>
      <w:lvlText w:val="5.%2"/>
      <w:lvlJc w:val="left"/>
      <w:pPr>
        <w:ind w:left="360" w:hanging="360"/>
      </w:pPr>
      <w:rPr>
        <w:i w:val="0"/>
        <w:color w:val="000000"/>
      </w:rPr>
    </w:lvl>
    <w:lvl w:ilvl="2">
      <w:start w:val="1"/>
      <w:numFmt w:val="decimal"/>
      <w:lvlText w:val="5.%2.%3"/>
      <w:lvlJc w:val="left"/>
      <w:pPr>
        <w:ind w:left="720" w:hanging="720"/>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3">
    <w:lvl w:ilvl="0">
      <w:start w:val="1"/>
      <w:numFmt w:val="decimal"/>
      <w:lvlText w:val="5.%1"/>
      <w:lvlJc w:val="left"/>
      <w:pPr>
        <w:ind w:left="340" w:hanging="340"/>
      </w:pPr>
      <w:rPr/>
    </w:lvl>
    <w:lvl w:ilvl="1">
      <w:start w:val="2"/>
      <w:numFmt w:val="decimal"/>
      <w:lvlText w:val="5.%2"/>
      <w:lvlJc w:val="left"/>
      <w:pPr>
        <w:ind w:left="360" w:hanging="360"/>
      </w:pPr>
      <w:rPr>
        <w:i w:val="0"/>
        <w:color w:val="000000"/>
      </w:rPr>
    </w:lvl>
    <w:lvl w:ilvl="2">
      <w:start w:val="1"/>
      <w:numFmt w:val="decimal"/>
      <w:lvlText w:val="5.%2.%3"/>
      <w:lvlJc w:val="left"/>
      <w:pPr>
        <w:ind w:left="720" w:hanging="720"/>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4">
    <w:lvl w:ilvl="0">
      <w:start w:val="1"/>
      <w:numFmt w:val="decimal"/>
      <w:lvlText w:val="5.%1"/>
      <w:lvlJc w:val="left"/>
      <w:pPr>
        <w:ind w:left="340" w:hanging="340"/>
      </w:pPr>
      <w:rPr/>
    </w:lvl>
    <w:lvl w:ilvl="1">
      <w:start w:val="2"/>
      <w:numFmt w:val="decimal"/>
      <w:lvlText w:val="5.%2"/>
      <w:lvlJc w:val="left"/>
      <w:pPr>
        <w:ind w:left="360" w:hanging="360"/>
      </w:pPr>
      <w:rPr>
        <w:i w:val="0"/>
        <w:color w:val="000000"/>
      </w:rPr>
    </w:lvl>
    <w:lvl w:ilvl="2">
      <w:start w:val="1"/>
      <w:numFmt w:val="decimal"/>
      <w:lvlText w:val="5.%2.%3"/>
      <w:lvlJc w:val="center"/>
      <w:pPr>
        <w:ind w:left="1191" w:hanging="567.0000000000001"/>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5">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lvl w:ilvl="0">
      <w:start w:val="1"/>
      <w:numFmt w:val="decimal"/>
      <w:lvlText w:val="6.%1"/>
      <w:lvlJc w:val="left"/>
      <w:pPr>
        <w:ind w:left="340" w:hanging="340"/>
      </w:pPr>
      <w:rPr/>
    </w:lvl>
    <w:lvl w:ilvl="1">
      <w:start w:val="2"/>
      <w:numFmt w:val="decimal"/>
      <w:lvlText w:val="6.1.1."/>
      <w:lvlJc w:val="left"/>
      <w:pPr>
        <w:ind w:left="360" w:hanging="360"/>
      </w:pPr>
      <w:rPr>
        <w:i w:val="0"/>
        <w:color w:val="000000"/>
      </w:rPr>
    </w:lvl>
    <w:lvl w:ilvl="2">
      <w:start w:val="1"/>
      <w:numFmt w:val="decimal"/>
      <w:lvlText w:val="5.%2.%3"/>
      <w:lvlJc w:val="center"/>
      <w:pPr>
        <w:ind w:left="1191" w:hanging="567.0000000000001"/>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7">
    <w:lvl w:ilvl="0">
      <w:start w:val="1"/>
      <w:numFmt w:val="decimal"/>
      <w:lvlText w:val="6.%1"/>
      <w:lvlJc w:val="left"/>
      <w:pPr>
        <w:ind w:left="397" w:hanging="397"/>
      </w:pPr>
      <w:rPr/>
    </w:lvl>
    <w:lvl w:ilvl="1">
      <w:start w:val="2"/>
      <w:numFmt w:val="decimal"/>
      <w:lvlText w:val="6.1.1."/>
      <w:lvlJc w:val="left"/>
      <w:pPr>
        <w:ind w:left="360" w:hanging="360"/>
      </w:pPr>
      <w:rPr>
        <w:i w:val="0"/>
        <w:color w:val="000000"/>
      </w:rPr>
    </w:lvl>
    <w:lvl w:ilvl="2">
      <w:start w:val="1"/>
      <w:numFmt w:val="decimal"/>
      <w:lvlText w:val="5.%2.%3"/>
      <w:lvlJc w:val="center"/>
      <w:pPr>
        <w:ind w:left="1191" w:hanging="567.0000000000001"/>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8">
    <w:lvl w:ilvl="0">
      <w:start w:val="10"/>
      <w:numFmt w:val="decimal"/>
      <w:lvlText w:val="%1"/>
      <w:lvlJc w:val="left"/>
      <w:pPr>
        <w:ind w:left="420" w:hanging="420"/>
      </w:pPr>
      <w:rPr>
        <w:i w:val="0"/>
        <w:color w:val="000000"/>
      </w:rPr>
    </w:lvl>
    <w:lvl w:ilvl="1">
      <w:start w:val="1"/>
      <w:numFmt w:val="decimal"/>
      <w:lvlText w:val="%1.%2"/>
      <w:lvlJc w:val="left"/>
      <w:pPr>
        <w:ind w:left="420" w:hanging="420"/>
      </w:pPr>
      <w:rPr>
        <w:i w:val="0"/>
        <w:color w:val="000000"/>
      </w:rPr>
    </w:lvl>
    <w:lvl w:ilvl="2">
      <w:start w:val="1"/>
      <w:numFmt w:val="decimal"/>
      <w:lvlText w:val="%1.%2.%3"/>
      <w:lvlJc w:val="left"/>
      <w:pPr>
        <w:ind w:left="720" w:hanging="720"/>
      </w:pPr>
      <w:rPr>
        <w:i w:val="0"/>
        <w:color w:val="000000"/>
      </w:rPr>
    </w:lvl>
    <w:lvl w:ilvl="3">
      <w:start w:val="1"/>
      <w:numFmt w:val="decimal"/>
      <w:lvlText w:val="%1.%2.%3.%4"/>
      <w:lvlJc w:val="left"/>
      <w:pPr>
        <w:ind w:left="720" w:hanging="72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9">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decimal"/>
      <w:lvlText w:val="1.%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2.%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3"/>
      <w:numFmt w:val="decimal"/>
      <w:lvlText w:val="%1"/>
      <w:lvlJc w:val="left"/>
      <w:pPr>
        <w:ind w:left="360" w:hanging="360"/>
      </w:pPr>
      <w:rPr/>
    </w:lvl>
    <w:lvl w:ilvl="1">
      <w:start w:val="1"/>
      <w:numFmt w:val="decimal"/>
      <w:lvlText w:val="%1.%2"/>
      <w:lvlJc w:val="left"/>
      <w:pPr>
        <w:ind w:left="644" w:hanging="359.99999999999994"/>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decimal"/>
      <w:lvlText w:val="7.%1"/>
      <w:lvlJc w:val="right"/>
      <w:pPr>
        <w:ind w:left="340" w:firstLine="20"/>
      </w:pPr>
      <w:rPr/>
    </w:lvl>
    <w:lvl w:ilvl="1">
      <w:start w:val="1"/>
      <w:numFmt w:val="decimal"/>
      <w:lvlText w:val="7.4.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0E1758"/>
    <w:pPr>
      <w:spacing w:after="200" w:line="276" w:lineRule="auto"/>
    </w:pPr>
    <w:rPr>
      <w:sz w:val="22"/>
      <w:szCs w:val="22"/>
    </w:rPr>
  </w:style>
  <w:style w:type="character" w:styleId="Standardnpsmoodstavce" w:default="1">
    <w:name w:val="Default Paragraph Font"/>
    <w:uiPriority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D07A04"/>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D07A04"/>
  </w:style>
  <w:style w:type="paragraph" w:styleId="Zpat">
    <w:name w:val="footer"/>
    <w:basedOn w:val="Normln"/>
    <w:link w:val="ZpatChar"/>
    <w:uiPriority w:val="99"/>
    <w:unhideWhenUsed w:val="1"/>
    <w:rsid w:val="00D07A04"/>
    <w:pPr>
      <w:tabs>
        <w:tab w:val="center" w:pos="4536"/>
        <w:tab w:val="right" w:pos="9072"/>
      </w:tabs>
      <w:spacing w:after="0" w:line="240" w:lineRule="auto"/>
    </w:pPr>
  </w:style>
  <w:style w:type="character" w:styleId="ZpatChar" w:customStyle="1">
    <w:name w:val="Zápatí Char"/>
    <w:basedOn w:val="Standardnpsmoodstavce"/>
    <w:link w:val="Zpat"/>
    <w:uiPriority w:val="99"/>
    <w:rsid w:val="00D07A04"/>
  </w:style>
  <w:style w:type="paragraph" w:styleId="Textbubliny">
    <w:name w:val="Balloon Text"/>
    <w:basedOn w:val="Normln"/>
    <w:link w:val="TextbublinyChar"/>
    <w:uiPriority w:val="99"/>
    <w:semiHidden w:val="1"/>
    <w:unhideWhenUsed w:val="1"/>
    <w:rsid w:val="00D07A04"/>
    <w:pPr>
      <w:spacing w:after="0" w:line="240" w:lineRule="auto"/>
    </w:pPr>
    <w:rPr>
      <w:rFonts w:ascii="Tahoma" w:hAnsi="Tahoma"/>
      <w:sz w:val="16"/>
      <w:szCs w:val="16"/>
      <w:lang w:eastAsia="x-none" w:val="x-none"/>
    </w:rPr>
  </w:style>
  <w:style w:type="character" w:styleId="TextbublinyChar" w:customStyle="1">
    <w:name w:val="Text bubliny Char"/>
    <w:link w:val="Textbubliny"/>
    <w:uiPriority w:val="99"/>
    <w:semiHidden w:val="1"/>
    <w:rsid w:val="00D07A04"/>
    <w:rPr>
      <w:rFonts w:ascii="Tahoma" w:cs="Tahoma" w:hAnsi="Tahoma"/>
      <w:sz w:val="16"/>
      <w:szCs w:val="16"/>
    </w:rPr>
  </w:style>
  <w:style w:type="paragraph" w:styleId="Odstavecseseznamem">
    <w:name w:val="List Paragraph"/>
    <w:basedOn w:val="Normln"/>
    <w:uiPriority w:val="34"/>
    <w:qFormat w:val="1"/>
    <w:rsid w:val="00805DAE"/>
    <w:pPr>
      <w:ind w:left="720"/>
      <w:contextualSpacing w:val="1"/>
    </w:pPr>
  </w:style>
  <w:style w:type="character" w:styleId="Hypertextovodkaz">
    <w:name w:val="Hyperlink"/>
    <w:uiPriority w:val="99"/>
    <w:unhideWhenUsed w:val="1"/>
    <w:rsid w:val="00147453"/>
    <w:rPr>
      <w:color w:val="0563c1"/>
      <w:u w:val="single"/>
    </w:rPr>
  </w:style>
  <w:style w:type="character" w:styleId="Nevyeenzmnka" w:customStyle="1">
    <w:name w:val="Nevyřešená zmínka"/>
    <w:uiPriority w:val="99"/>
    <w:semiHidden w:val="1"/>
    <w:unhideWhenUsed w:val="1"/>
    <w:rsid w:val="0014745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e2k8FCZD/WJo0DQOqbSPmHD0Q==">AMUW2mUtf6uLg0cpJi9JvRYjV7kbs1PCN1znURMmMcuAKRYPyXWCE65HJZE/uYozj+uZ4HAxh64qsOMr7JfbufiguaOxtWKmUTcI/gF4PQKNUtE5LJENZKnQUV0jyFqkSpdwjLS3fvfH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2020-12-29T10:13:00Z</dcterms:created>
  <dc:creator>Věra Dědičová</dc:creator>
</cp:coreProperties>
</file>